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FFFFFF"/>
  <w:body>
    <w:p w:rsidR="00763B50" w:rsidRPr="00763B50" w:rsidRDefault="00763B50" w:rsidP="00763B50">
      <w:pPr>
        <w:pStyle w:val="normal0"/>
        <w:widowControl w:val="0"/>
        <w:tabs>
          <w:tab w:val="left" w:pos="720"/>
        </w:tabs>
        <w:spacing w:line="276" w:lineRule="auto"/>
        <w:jc w:val="center"/>
        <w:rPr>
          <w:rFonts w:asciiTheme="majorHAnsi" w:hAnsiTheme="majorHAnsi"/>
        </w:rPr>
      </w:pPr>
      <w:r w:rsidRPr="00763B50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-978535</wp:posOffset>
            </wp:positionV>
            <wp:extent cx="1005840" cy="741680"/>
            <wp:effectExtent l="0" t="0" r="10160" b="0"/>
            <wp:wrapNone/>
            <wp:docPr id="4" name="" descr="psl logo bl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 logo black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B50">
        <w:rPr>
          <w:rFonts w:asciiTheme="majorHAnsi" w:hAnsiTheme="majorHAnsi"/>
          <w:noProof/>
        </w:rPr>
        <w:pict>
          <v:rect id="_x0000_s1026" style="position:absolute;left:0;text-align:left;margin-left:-36pt;margin-top:-68.05pt;width:504.4pt;height:9pt;z-index:251658240;mso-wrap-edited:f;mso-position-horizontal:absolute;mso-position-horizontal-relative:text;mso-position-vertical:absolute;mso-position-vertical-relative:text" wrapcoords="-96 -1800 -128 3600 -128 34200 21792 34200 21824 12600 21760 0 21664 -1800 -96 -1800" fillcolor="gray [1629]" strokecolor="gray [1629]" strokeweight="1.5pt">
            <v:fill o:detectmouseclick="t"/>
            <v:shadow on="t" opacity="22938f" mv:blur="38100f" offset="0,2pt"/>
            <v:textbox inset=",7.2pt,,7.2pt"/>
            <w10:wrap type="tight"/>
          </v:rect>
        </w:pict>
      </w:r>
      <w:r w:rsidRPr="00763B50">
        <w:rPr>
          <w:rFonts w:asciiTheme="majorHAnsi" w:hAnsiTheme="majorHAnsi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-36pt;margin-top:-63.25pt;width:504.4pt;height:36pt;z-index:2516613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7C1E3D" w:rsidRDefault="007C1E3D" w:rsidP="00763B50">
                  <w:pPr>
                    <w:pStyle w:val="normal0"/>
                  </w:pPr>
                  <w:r>
                    <w:rPr>
                      <w:rFonts w:ascii="Calibri" w:eastAsia="Calibri" w:hAnsi="Calibri" w:cs="Calibri"/>
                    </w:rPr>
                    <w:t>Imperialism in the 21st Century</w:t>
                  </w:r>
                  <w:r>
                    <w:t xml:space="preserve">: </w:t>
                  </w:r>
                  <w:r>
                    <w:rPr>
                      <w:rFonts w:ascii="Calibri" w:eastAsia="Calibri" w:hAnsi="Calibri" w:cs="Calibri"/>
                    </w:rPr>
                    <w:t xml:space="preserve">Class 1 OR before reading Chapter 1  </w:t>
                  </w:r>
                </w:p>
                <w:p w:rsidR="007C1E3D" w:rsidRDefault="007C1E3D" w:rsidP="00763B50"/>
              </w:txbxContent>
            </v:textbox>
            <w10:wrap type="tight"/>
          </v:shape>
        </w:pict>
      </w:r>
      <w:r>
        <w:rPr>
          <w:rFonts w:asciiTheme="majorHAnsi" w:hAnsiTheme="majorHAnsi"/>
          <w:b/>
        </w:rPr>
        <w:t xml:space="preserve">Anticipation Guide </w:t>
      </w:r>
    </w:p>
    <w:p w:rsidR="00DB540A" w:rsidRDefault="00763B50" w:rsidP="00763B50">
      <w:pPr>
        <w:pStyle w:val="normal0"/>
        <w:widowControl w:val="0"/>
        <w:tabs>
          <w:tab w:val="left" w:pos="720"/>
        </w:tabs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Before reading</w:t>
      </w:r>
      <w:r w:rsidRPr="00763B50">
        <w:rPr>
          <w:rFonts w:asciiTheme="majorHAnsi" w:hAnsiTheme="majorHAnsi"/>
        </w:rPr>
        <w:t>, mark T for True or F for false</w:t>
      </w:r>
      <w:r>
        <w:rPr>
          <w:rFonts w:asciiTheme="majorHAnsi" w:hAnsiTheme="majorHAnsi"/>
        </w:rPr>
        <w:t xml:space="preserve"> in the </w:t>
      </w:r>
      <w:r w:rsidR="00DB540A">
        <w:rPr>
          <w:rFonts w:asciiTheme="majorHAnsi" w:hAnsiTheme="majorHAnsi"/>
        </w:rPr>
        <w:t>BEFORE</w:t>
      </w:r>
      <w:r>
        <w:rPr>
          <w:rFonts w:asciiTheme="majorHAnsi" w:hAnsiTheme="majorHAnsi"/>
        </w:rPr>
        <w:t xml:space="preserve"> column</w:t>
      </w:r>
      <w:r w:rsidRPr="00763B50">
        <w:rPr>
          <w:rFonts w:asciiTheme="majorHAnsi" w:hAnsiTheme="majorHAnsi"/>
        </w:rPr>
        <w:t xml:space="preserve">. </w:t>
      </w:r>
      <w:proofErr w:type="gramStart"/>
      <w:r w:rsidRPr="00763B50">
        <w:rPr>
          <w:rFonts w:asciiTheme="majorHAnsi" w:hAnsiTheme="majorHAnsi"/>
        </w:rPr>
        <w:t xml:space="preserve">After </w:t>
      </w:r>
      <w:r>
        <w:rPr>
          <w:rFonts w:asciiTheme="majorHAnsi" w:hAnsiTheme="majorHAnsi"/>
        </w:rPr>
        <w:t>reading</w:t>
      </w:r>
      <w:r w:rsidRPr="00763B50">
        <w:rPr>
          <w:rFonts w:asciiTheme="majorHAnsi" w:hAnsiTheme="majorHAnsi"/>
        </w:rPr>
        <w:t xml:space="preserve">, </w:t>
      </w:r>
      <w:r w:rsidR="00DB540A">
        <w:rPr>
          <w:rFonts w:asciiTheme="majorHAnsi" w:hAnsiTheme="majorHAnsi"/>
        </w:rPr>
        <w:t>fill out the AFTER column with T for true or F for False</w:t>
      </w:r>
      <w:r w:rsidRPr="00763B50">
        <w:rPr>
          <w:rFonts w:asciiTheme="majorHAnsi" w:hAnsiTheme="majorHAnsi"/>
        </w:rPr>
        <w:t>.</w:t>
      </w:r>
      <w:proofErr w:type="gramEnd"/>
      <w:r w:rsidRPr="00763B50">
        <w:rPr>
          <w:rFonts w:asciiTheme="majorHAnsi" w:hAnsiTheme="majorHAnsi"/>
        </w:rPr>
        <w:t xml:space="preserve"> </w:t>
      </w:r>
      <w:r w:rsidR="00DB540A">
        <w:rPr>
          <w:rFonts w:asciiTheme="majorHAnsi" w:hAnsiTheme="majorHAnsi"/>
        </w:rPr>
        <w:t xml:space="preserve">Compare your answers. </w:t>
      </w:r>
      <w:r w:rsidRPr="00763B50">
        <w:rPr>
          <w:rFonts w:asciiTheme="majorHAnsi" w:hAnsiTheme="majorHAnsi"/>
        </w:rPr>
        <w:t xml:space="preserve"> </w:t>
      </w:r>
    </w:p>
    <w:p w:rsidR="00AC5DDA" w:rsidRPr="00763B50" w:rsidRDefault="00AC5DDA" w:rsidP="00763B50">
      <w:pPr>
        <w:pStyle w:val="normal0"/>
        <w:widowControl w:val="0"/>
        <w:tabs>
          <w:tab w:val="left" w:pos="720"/>
        </w:tabs>
        <w:spacing w:line="276" w:lineRule="auto"/>
        <w:rPr>
          <w:rFonts w:asciiTheme="majorHAnsi" w:hAnsiTheme="majorHAnsi"/>
        </w:rPr>
      </w:pPr>
    </w:p>
    <w:tbl>
      <w:tblPr>
        <w:tblStyle w:val="a"/>
        <w:tblW w:w="1030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434"/>
        <w:gridCol w:w="3434"/>
        <w:gridCol w:w="3434"/>
      </w:tblGrid>
      <w:tr w:rsidR="00AC5DDA" w:rsidRPr="00763B50">
        <w:trPr>
          <w:trHeight w:val="258"/>
        </w:trPr>
        <w:tc>
          <w:tcPr>
            <w:tcW w:w="3434" w:type="dxa"/>
          </w:tcPr>
          <w:p w:rsidR="00AC5DDA" w:rsidRPr="00763B50" w:rsidRDefault="00763B50">
            <w:pPr>
              <w:pStyle w:val="normal0"/>
              <w:contextualSpacing w:val="0"/>
              <w:rPr>
                <w:rFonts w:asciiTheme="majorHAnsi" w:hAnsiTheme="majorHAnsi"/>
              </w:rPr>
            </w:pPr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>Statement</w:t>
            </w:r>
          </w:p>
        </w:tc>
        <w:tc>
          <w:tcPr>
            <w:tcW w:w="3434" w:type="dxa"/>
          </w:tcPr>
          <w:p w:rsidR="00AC5DDA" w:rsidRPr="00763B50" w:rsidRDefault="00DB540A" w:rsidP="00DB540A">
            <w:pPr>
              <w:pStyle w:val="normal0"/>
              <w:ind w:left="90"/>
              <w:contextualSpacing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BEFORE</w:t>
            </w:r>
          </w:p>
        </w:tc>
        <w:tc>
          <w:tcPr>
            <w:tcW w:w="3434" w:type="dxa"/>
          </w:tcPr>
          <w:p w:rsidR="00AC5DDA" w:rsidRPr="00763B50" w:rsidRDefault="00DB540A" w:rsidP="00DB540A">
            <w:pPr>
              <w:pStyle w:val="normal0"/>
              <w:ind w:left="90"/>
              <w:contextualSpacing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AFTER</w:t>
            </w:r>
          </w:p>
        </w:tc>
      </w:tr>
      <w:tr w:rsidR="00AC5DDA" w:rsidRPr="00763B50">
        <w:trPr>
          <w:trHeight w:val="1081"/>
        </w:trPr>
        <w:tc>
          <w:tcPr>
            <w:tcW w:w="3434" w:type="dxa"/>
          </w:tcPr>
          <w:p w:rsidR="00AC5DDA" w:rsidRPr="00763B50" w:rsidRDefault="00763B50" w:rsidP="00DB540A">
            <w:pPr>
              <w:pStyle w:val="normal0"/>
              <w:contextualSpacing w:val="0"/>
              <w:rPr>
                <w:rFonts w:asciiTheme="majorHAnsi" w:hAnsiTheme="majorHAnsi"/>
              </w:rPr>
            </w:pPr>
            <w:bookmarkStart w:id="0" w:name="h.gjdgxs" w:colFirst="0" w:colLast="0"/>
            <w:bookmarkEnd w:id="0"/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Lenin </w:t>
            </w:r>
            <w:r w:rsidR="00DB540A">
              <w:rPr>
                <w:rFonts w:asciiTheme="majorHAnsi" w:eastAsia="Calibri" w:hAnsiTheme="majorHAnsi" w:cs="Calibri"/>
                <w:sz w:val="22"/>
                <w:szCs w:val="22"/>
              </w:rPr>
              <w:t>as an academic exercise</w:t>
            </w:r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—NOT to explain the capitulation of the socialist parties at the start of WWI </w:t>
            </w: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</w:tr>
      <w:tr w:rsidR="00AC5DDA" w:rsidRPr="00763B50">
        <w:trPr>
          <w:trHeight w:val="1081"/>
        </w:trPr>
        <w:tc>
          <w:tcPr>
            <w:tcW w:w="3434" w:type="dxa"/>
          </w:tcPr>
          <w:p w:rsidR="00AC5DDA" w:rsidRPr="00763B50" w:rsidRDefault="00DB540A" w:rsidP="00DB540A">
            <w:pPr>
              <w:pStyle w:val="normal0"/>
              <w:contextualSpacing w:val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 xml:space="preserve">Lenin defines </w:t>
            </w:r>
            <w:r w:rsidR="00763B50"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imperialism </w:t>
            </w:r>
            <w:r>
              <w:rPr>
                <w:rFonts w:asciiTheme="majorHAnsi" w:eastAsia="Calibri" w:hAnsiTheme="majorHAnsi" w:cs="Calibri"/>
                <w:sz w:val="22"/>
                <w:szCs w:val="22"/>
              </w:rPr>
              <w:t>as</w:t>
            </w:r>
            <w:r w:rsidR="00763B50"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 “the monopoly stage of capitalism” and </w:t>
            </w:r>
            <w:r>
              <w:rPr>
                <w:rFonts w:asciiTheme="majorHAnsi" w:eastAsia="Calibri" w:hAnsiTheme="majorHAnsi" w:cs="Calibri"/>
                <w:sz w:val="22"/>
                <w:szCs w:val="22"/>
              </w:rPr>
              <w:t>describes</w:t>
            </w:r>
            <w:r w:rsidR="00763B50"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 3 basic features. </w:t>
            </w: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</w:tr>
      <w:tr w:rsidR="00AC5DDA" w:rsidRPr="00763B50">
        <w:trPr>
          <w:trHeight w:val="1745"/>
        </w:trPr>
        <w:tc>
          <w:tcPr>
            <w:tcW w:w="3434" w:type="dxa"/>
          </w:tcPr>
          <w:p w:rsidR="00AC5DDA" w:rsidRPr="00763B50" w:rsidRDefault="00763B50" w:rsidP="00DB540A">
            <w:pPr>
              <w:pStyle w:val="normal0"/>
              <w:contextualSpacing w:val="0"/>
              <w:rPr>
                <w:rFonts w:asciiTheme="majorHAnsi" w:hAnsiTheme="majorHAnsi"/>
              </w:rPr>
            </w:pPr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The key economic phenomena Lenin concentrated on in Imperialism were the growth of huge, monopolistic enterprises and the centralization of finance capital </w:t>
            </w:r>
            <w:r w:rsidR="00DB540A">
              <w:rPr>
                <w:rFonts w:asciiTheme="majorHAnsi" w:eastAsia="Calibri" w:hAnsiTheme="majorHAnsi" w:cs="Calibri"/>
                <w:sz w:val="22"/>
                <w:szCs w:val="22"/>
              </w:rPr>
              <w:t>as it</w:t>
            </w:r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 became dominant.</w:t>
            </w: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</w:tr>
      <w:tr w:rsidR="00AC5DDA" w:rsidRPr="00763B50">
        <w:trPr>
          <w:trHeight w:val="989"/>
        </w:trPr>
        <w:tc>
          <w:tcPr>
            <w:tcW w:w="3434" w:type="dxa"/>
          </w:tcPr>
          <w:p w:rsidR="00AC5DDA" w:rsidRPr="00763B50" w:rsidRDefault="00763B50">
            <w:pPr>
              <w:pStyle w:val="normal0"/>
              <w:contextualSpacing w:val="0"/>
              <w:rPr>
                <w:rFonts w:asciiTheme="majorHAnsi" w:hAnsiTheme="majorHAnsi"/>
              </w:rPr>
            </w:pPr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>In 1876 European powers controlled 10% of African territory; By 1900 that had increased to 90%</w:t>
            </w: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</w:tr>
      <w:tr w:rsidR="00AC5DDA" w:rsidRPr="00763B50">
        <w:trPr>
          <w:trHeight w:val="807"/>
        </w:trPr>
        <w:tc>
          <w:tcPr>
            <w:tcW w:w="3434" w:type="dxa"/>
          </w:tcPr>
          <w:p w:rsidR="00AC5DDA" w:rsidRPr="00763B50" w:rsidRDefault="00763B50" w:rsidP="00DB540A">
            <w:pPr>
              <w:pStyle w:val="normal0"/>
              <w:contextualSpacing w:val="0"/>
              <w:rPr>
                <w:rFonts w:asciiTheme="majorHAnsi" w:hAnsiTheme="majorHAnsi"/>
              </w:rPr>
            </w:pPr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The tendency toward endless war is </w:t>
            </w:r>
            <w:r w:rsidR="00DB540A">
              <w:rPr>
                <w:rFonts w:asciiTheme="majorHAnsi" w:eastAsia="Calibri" w:hAnsiTheme="majorHAnsi" w:cs="Calibri"/>
                <w:sz w:val="22"/>
                <w:szCs w:val="22"/>
              </w:rPr>
              <w:t xml:space="preserve">a policy choice, and not inherent to the system. </w:t>
            </w:r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 </w:t>
            </w: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</w:tr>
      <w:tr w:rsidR="00AC5DDA" w:rsidRPr="00763B50">
        <w:trPr>
          <w:trHeight w:val="1888"/>
        </w:trPr>
        <w:tc>
          <w:tcPr>
            <w:tcW w:w="3434" w:type="dxa"/>
          </w:tcPr>
          <w:p w:rsidR="00AC5DDA" w:rsidRPr="00763B50" w:rsidRDefault="00763B50">
            <w:pPr>
              <w:pStyle w:val="normal0"/>
              <w:contextualSpacing w:val="0"/>
              <w:rPr>
                <w:rFonts w:asciiTheme="majorHAnsi" w:hAnsiTheme="majorHAnsi"/>
              </w:rPr>
            </w:pPr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The institutions for inter-imperialist cooperation set up to underpin the post WWII world order </w:t>
            </w:r>
            <w:proofErr w:type="gramStart"/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>included  the</w:t>
            </w:r>
            <w:proofErr w:type="gramEnd"/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 World Trade Organization, the IMF, NATO, the UN, GATT and the World Bank. </w:t>
            </w: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</w:tr>
      <w:tr w:rsidR="00AC5DDA" w:rsidRPr="00763B50">
        <w:trPr>
          <w:trHeight w:val="1355"/>
        </w:trPr>
        <w:tc>
          <w:tcPr>
            <w:tcW w:w="3434" w:type="dxa"/>
          </w:tcPr>
          <w:p w:rsidR="00AC5DDA" w:rsidRPr="00763B50" w:rsidRDefault="00763B50">
            <w:pPr>
              <w:pStyle w:val="normal0"/>
              <w:contextualSpacing w:val="0"/>
              <w:rPr>
                <w:rFonts w:asciiTheme="majorHAnsi" w:hAnsiTheme="majorHAnsi"/>
              </w:rPr>
            </w:pPr>
            <w:r w:rsidRPr="00763B50">
              <w:rPr>
                <w:rFonts w:asciiTheme="majorHAnsi" w:eastAsia="Calibri" w:hAnsiTheme="majorHAnsi" w:cs="Calibri"/>
                <w:sz w:val="22"/>
                <w:szCs w:val="22"/>
              </w:rPr>
              <w:t xml:space="preserve">Global imperialism is now in yet another stage of transition and turmoil as cracks appear in the U.S domination of the system. </w:t>
            </w: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  <w:tc>
          <w:tcPr>
            <w:tcW w:w="3434" w:type="dxa"/>
          </w:tcPr>
          <w:p w:rsidR="00AC5DDA" w:rsidRPr="00763B50" w:rsidRDefault="00AC5DDA">
            <w:pPr>
              <w:pStyle w:val="normal0"/>
              <w:ind w:left="90"/>
              <w:contextualSpacing w:val="0"/>
              <w:rPr>
                <w:rFonts w:asciiTheme="majorHAnsi" w:hAnsiTheme="majorHAnsi"/>
              </w:rPr>
            </w:pPr>
          </w:p>
        </w:tc>
      </w:tr>
    </w:tbl>
    <w:p w:rsidR="00AC5DDA" w:rsidRPr="00763B50" w:rsidRDefault="00AC5DDA">
      <w:pPr>
        <w:pStyle w:val="normal0"/>
        <w:ind w:left="90"/>
        <w:rPr>
          <w:rFonts w:asciiTheme="majorHAnsi" w:hAnsiTheme="majorHAnsi"/>
        </w:rPr>
      </w:pPr>
    </w:p>
    <w:sectPr w:rsidR="00AC5DDA" w:rsidRPr="00763B50" w:rsidSect="00AC5DDA">
      <w:headerReference w:type="default" r:id="rId5"/>
      <w:pgSz w:w="12240" w:h="15840"/>
      <w:pgMar w:top="1440" w:right="1080" w:bottom="720" w:left="1080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E3D" w:rsidRDefault="007C1E3D">
    <w:pPr>
      <w:pStyle w:val="normal0"/>
      <w:tabs>
        <w:tab w:val="center" w:pos="4320"/>
        <w:tab w:val="right" w:pos="8640"/>
      </w:tabs>
      <w:spacing w:before="720"/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oNotTrackMoves/>
  <w:defaultTabStop w:val="720"/>
  <w:characterSpacingControl w:val="doNotCompress"/>
  <w:hdrShapeDefaults>
    <o:shapedefaults v:ext="edit" spidmax="2049"/>
  </w:hdrShapeDefaults>
  <w:compat/>
  <w:rsids>
    <w:rsidRoot w:val="00AC5DDA"/>
    <w:rsid w:val="00763B50"/>
    <w:rsid w:val="007C1E3D"/>
    <w:rsid w:val="009A4E25"/>
    <w:rsid w:val="00AC5DDA"/>
    <w:rsid w:val="00D63AF1"/>
    <w:rsid w:val="00DB540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AC5DD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AC5DD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AC5DD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AC5DDA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rsid w:val="00AC5DD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AC5DD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AC5DDA"/>
  </w:style>
  <w:style w:type="paragraph" w:styleId="Title">
    <w:name w:val="Title"/>
    <w:basedOn w:val="normal0"/>
    <w:next w:val="normal0"/>
    <w:rsid w:val="00AC5DD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AC5DD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C5DDA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63B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3B50"/>
  </w:style>
  <w:style w:type="paragraph" w:styleId="Footer">
    <w:name w:val="footer"/>
    <w:basedOn w:val="Normal"/>
    <w:link w:val="FooterChar"/>
    <w:uiPriority w:val="99"/>
    <w:semiHidden/>
    <w:unhideWhenUsed/>
    <w:rsid w:val="00763B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3B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918</Characters>
  <Application>Microsoft Macintosh Word</Application>
  <DocSecurity>0</DocSecurity>
  <Lines>7</Lines>
  <Paragraphs>1</Paragraphs>
  <ScaleCrop>false</ScaleCrop>
  <Company>Socialism &amp; Liberation Campaign Comm.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psl</cp:lastModifiedBy>
  <cp:revision>3</cp:revision>
  <dcterms:created xsi:type="dcterms:W3CDTF">2015-06-16T19:18:00Z</dcterms:created>
  <dcterms:modified xsi:type="dcterms:W3CDTF">2015-06-16T19:30:00Z</dcterms:modified>
</cp:coreProperties>
</file>